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7C" w:rsidRDefault="00401F54" w:rsidP="00401F54">
      <w:pPr>
        <w:spacing w:line="240" w:lineRule="exact"/>
        <w:jc w:val="center"/>
        <w:rPr>
          <w:rFonts w:eastAsia="標楷體"/>
          <w:bCs/>
          <w:color w:val="000000" w:themeColor="text1"/>
          <w:sz w:val="18"/>
          <w:szCs w:val="18"/>
        </w:rPr>
      </w:pPr>
      <w:r w:rsidRPr="00401F5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淡江大學淡水校園學生宿舍炊煮電器管理要點</w:t>
      </w:r>
    </w:p>
    <w:p w:rsidR="00791264" w:rsidRDefault="00791264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</w:p>
    <w:p w:rsidR="00C9527B" w:rsidRDefault="00C9527B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94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12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</w:t>
      </w:r>
      <w:r>
        <w:rPr>
          <w:rFonts w:eastAsia="標楷體" w:hint="eastAsia"/>
          <w:bCs/>
          <w:color w:val="000000" w:themeColor="text1"/>
          <w:sz w:val="18"/>
          <w:szCs w:val="18"/>
        </w:rPr>
        <w:t>1</w:t>
      </w:r>
      <w:r>
        <w:rPr>
          <w:rFonts w:eastAsia="標楷體" w:hint="eastAsia"/>
          <w:bCs/>
          <w:color w:val="000000" w:themeColor="text1"/>
          <w:sz w:val="18"/>
          <w:szCs w:val="18"/>
        </w:rPr>
        <w:t>日組務會議訂定</w:t>
      </w:r>
    </w:p>
    <w:p w:rsidR="00C9527B" w:rsidRDefault="00C9527B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96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5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月組務會議修正公布</w:t>
      </w:r>
    </w:p>
    <w:p w:rsidR="00C9527B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97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8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月組務會議修正公布</w:t>
      </w:r>
    </w:p>
    <w:p w:rsidR="00C9527B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98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5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月組務會議修正公布</w:t>
      </w:r>
    </w:p>
    <w:p w:rsidR="00C9527B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99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5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月組務會議修正公布</w:t>
      </w:r>
    </w:p>
    <w:p w:rsidR="00C9527B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100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6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月組務會議修正公布</w:t>
      </w:r>
    </w:p>
    <w:p w:rsidR="003D4318" w:rsidRDefault="00C9527B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104</w:t>
      </w:r>
      <w:r w:rsidR="003D4318" w:rsidRPr="00B31005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="00C26B7C">
        <w:rPr>
          <w:rFonts w:eastAsia="標楷體" w:hint="eastAsia"/>
          <w:bCs/>
          <w:color w:val="000000" w:themeColor="text1"/>
          <w:sz w:val="18"/>
          <w:szCs w:val="18"/>
        </w:rPr>
        <w:t>05</w:t>
      </w:r>
      <w:r w:rsidR="003D4318" w:rsidRPr="00B31005">
        <w:rPr>
          <w:rFonts w:eastAsia="標楷體" w:hint="eastAsia"/>
          <w:bCs/>
          <w:color w:val="000000" w:themeColor="text1"/>
          <w:sz w:val="18"/>
          <w:szCs w:val="18"/>
        </w:rPr>
        <w:t>.</w:t>
      </w:r>
      <w:r>
        <w:rPr>
          <w:rFonts w:eastAsia="標楷體" w:hint="eastAsia"/>
          <w:bCs/>
          <w:color w:val="000000" w:themeColor="text1"/>
          <w:sz w:val="18"/>
          <w:szCs w:val="18"/>
        </w:rPr>
        <w:t>15</w:t>
      </w:r>
      <w:r w:rsidR="00B31005" w:rsidRPr="00B31005">
        <w:rPr>
          <w:rFonts w:eastAsia="標楷體" w:hint="eastAsia"/>
          <w:bCs/>
          <w:color w:val="000000" w:themeColor="text1"/>
          <w:sz w:val="18"/>
          <w:szCs w:val="18"/>
        </w:rPr>
        <w:t>處學法字第</w:t>
      </w:r>
      <w:r>
        <w:rPr>
          <w:rFonts w:eastAsia="標楷體" w:hint="eastAsia"/>
          <w:bCs/>
          <w:color w:val="000000" w:themeColor="text1"/>
          <w:sz w:val="18"/>
          <w:szCs w:val="18"/>
        </w:rPr>
        <w:t>1040000017</w:t>
      </w:r>
      <w:r w:rsidR="00B31005" w:rsidRPr="00B31005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r w:rsidR="003D4318" w:rsidRPr="00B31005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:rsidR="00617417" w:rsidRDefault="00617417" w:rsidP="00617417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2A5E12">
        <w:rPr>
          <w:rFonts w:eastAsia="標楷體"/>
          <w:color w:val="000000" w:themeColor="text1"/>
          <w:kern w:val="0"/>
          <w:sz w:val="18"/>
          <w:szCs w:val="18"/>
        </w:rPr>
        <w:t>106.</w:t>
      </w:r>
      <w:r w:rsidR="002A5E12" w:rsidRPr="002A5E12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2A5E12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2A5E12" w:rsidRPr="002A5E12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2A5E12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 w:rsidRPr="002A5E12">
        <w:rPr>
          <w:rFonts w:eastAsia="標楷體"/>
          <w:color w:val="000000" w:themeColor="text1"/>
          <w:kern w:val="0"/>
          <w:sz w:val="18"/>
          <w:szCs w:val="18"/>
        </w:rPr>
        <w:t>10600000</w:t>
      </w:r>
      <w:r w:rsidR="002A5E12" w:rsidRPr="002A5E12">
        <w:rPr>
          <w:rFonts w:eastAsia="標楷體" w:hint="eastAsia"/>
          <w:color w:val="000000" w:themeColor="text1"/>
          <w:kern w:val="0"/>
          <w:sz w:val="18"/>
          <w:szCs w:val="18"/>
        </w:rPr>
        <w:t>09</w:t>
      </w:r>
      <w:r w:rsidRPr="002A5E12">
        <w:rPr>
          <w:rFonts w:eastAsia="標楷體" w:hint="eastAsia"/>
          <w:color w:val="000000" w:themeColor="text1"/>
          <w:kern w:val="0"/>
          <w:sz w:val="18"/>
          <w:szCs w:val="18"/>
        </w:rPr>
        <w:t>號函公布</w:t>
      </w:r>
    </w:p>
    <w:p w:rsidR="00A214CC" w:rsidRPr="002A5E12" w:rsidRDefault="00A214CC" w:rsidP="00617417">
      <w:pPr>
        <w:spacing w:line="240" w:lineRule="exact"/>
        <w:jc w:val="right"/>
        <w:rPr>
          <w:rFonts w:eastAsia="標楷體" w:hint="eastAsia"/>
          <w:color w:val="000000" w:themeColor="text1"/>
          <w:sz w:val="18"/>
          <w:szCs w:val="18"/>
          <w:lang w:val="x-none"/>
        </w:rPr>
      </w:pPr>
      <w:r>
        <w:rPr>
          <w:rFonts w:eastAsia="標楷體" w:hint="eastAsia"/>
          <w:color w:val="000000" w:themeColor="text1"/>
          <w:kern w:val="0"/>
          <w:sz w:val="18"/>
          <w:szCs w:val="18"/>
        </w:rPr>
        <w:t>112.06.02</w:t>
      </w:r>
      <w:r w:rsidRPr="002A5E12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18"/>
        </w:rPr>
        <w:t>1120000050</w:t>
      </w:r>
      <w:r w:rsidRPr="002A5E12">
        <w:rPr>
          <w:rFonts w:eastAsia="標楷體" w:hint="eastAsia"/>
          <w:color w:val="000000" w:themeColor="text1"/>
          <w:kern w:val="0"/>
          <w:sz w:val="18"/>
          <w:szCs w:val="18"/>
        </w:rPr>
        <w:t>號函公布</w:t>
      </w:r>
    </w:p>
    <w:p w:rsidR="00791264" w:rsidRPr="00791264" w:rsidRDefault="00791264" w:rsidP="00982802">
      <w:pPr>
        <w:adjustRightInd w:val="0"/>
        <w:snapToGrid w:val="0"/>
        <w:spacing w:beforeLines="100" w:before="36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一、為維護學生宿舍炊煮電器之安全及整潔，特訂定「淡江大學淡水校園學生宿舍炊煮電器管理要點」，以下簡稱本要點。</w:t>
      </w:r>
    </w:p>
    <w:p w:rsidR="00791264" w:rsidRP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二、炊煮地點</w:t>
      </w:r>
      <w:bookmarkStart w:id="0" w:name="_GoBack"/>
      <w:bookmarkEnd w:id="0"/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(一)松濤館：一館2樓、二館1樓、三館2樓及5樓。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(二)</w:t>
      </w:r>
      <w:r w:rsidR="00BB4DDC">
        <w:rPr>
          <w:rFonts w:ascii="標楷體" w:eastAsia="標楷體" w:hint="eastAsia"/>
          <w:bCs/>
          <w:color w:val="000000" w:themeColor="text1"/>
        </w:rPr>
        <w:t>淡江國際學園</w:t>
      </w:r>
      <w:r w:rsidR="00791264" w:rsidRPr="00791264">
        <w:rPr>
          <w:rFonts w:ascii="標楷體" w:eastAsia="標楷體" w:hint="eastAsia"/>
          <w:bCs/>
          <w:color w:val="000000" w:themeColor="text1"/>
        </w:rPr>
        <w:t>：雙數樓層交誼廳及R樓交誼廳。</w:t>
      </w:r>
    </w:p>
    <w:p w:rsidR="00791264" w:rsidRP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三、使用時間：學期間，開放使用時段為每天上午六時至晚上十一時；寒暑假期間不開放使用。</w:t>
      </w:r>
    </w:p>
    <w:p w:rsidR="00791264" w:rsidRP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四、遵守事項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(一)確實瞭解各項電器操作須知並妥善使用。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(二)禁止將炊煮電器移動或搬移至寢室內使用。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(三)烹煮過程中，嚴禁離開炊煮區或同時進行他項事物，避免食物溢出，發生危險。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(四)嚴禁分接插座，避免造成電線走火，引發公共安全事件。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(五)使用完畢後，應進行下列事項：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1.拔掉插頭並檢查確定電源已關閉。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2.清理電器與炊煮區，垃圾及廚餘分類處理，保持環境整潔。</w:t>
      </w:r>
    </w:p>
    <w:p w:rsidR="00791264" w:rsidRPr="00791264" w:rsidRDefault="007F3A67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="00791264" w:rsidRPr="00791264">
        <w:rPr>
          <w:rFonts w:ascii="標楷體" w:eastAsia="標楷體" w:hint="eastAsia"/>
          <w:bCs/>
          <w:color w:val="000000" w:themeColor="text1"/>
        </w:rPr>
        <w:t>(六)嚴禁使用其他電器用品。</w:t>
      </w:r>
    </w:p>
    <w:p w:rsidR="00791264" w:rsidRP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五、違反本要點規定者，依「學生獎懲辦法」議處。</w:t>
      </w:r>
    </w:p>
    <w:p w:rsidR="00791264" w:rsidRP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六、遇電器故障，應立即通知宿舍輔導員或協助上網申報修繕，以便儘速通知廠商進行維修。</w:t>
      </w:r>
    </w:p>
    <w:p w:rsidR="00791264" w:rsidRDefault="00791264" w:rsidP="00791264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791264">
        <w:rPr>
          <w:rFonts w:ascii="標楷體" w:eastAsia="標楷體" w:hint="eastAsia"/>
          <w:bCs/>
          <w:color w:val="000000" w:themeColor="text1"/>
        </w:rPr>
        <w:t>七、本要點經住宿輔導組組務會議通過，報請學生事務長核定後，自公布日實施；修正時亦同。</w:t>
      </w:r>
    </w:p>
    <w:sectPr w:rsidR="00791264" w:rsidSect="006E579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38" w:rsidRDefault="00A53638" w:rsidP="002605BA">
      <w:r>
        <w:separator/>
      </w:r>
    </w:p>
  </w:endnote>
  <w:endnote w:type="continuationSeparator" w:id="0">
    <w:p w:rsidR="00A53638" w:rsidRDefault="00A53638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982802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982802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38" w:rsidRDefault="00A53638" w:rsidP="002605BA">
      <w:r>
        <w:separator/>
      </w:r>
    </w:p>
  </w:footnote>
  <w:footnote w:type="continuationSeparator" w:id="0">
    <w:p w:rsidR="00A53638" w:rsidRDefault="00A53638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007B"/>
    <w:rsid w:val="0002125E"/>
    <w:rsid w:val="00025D02"/>
    <w:rsid w:val="00025F82"/>
    <w:rsid w:val="00026C02"/>
    <w:rsid w:val="00027CB1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E6B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E12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675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20B1"/>
    <w:rsid w:val="0031433D"/>
    <w:rsid w:val="0031524A"/>
    <w:rsid w:val="003158E4"/>
    <w:rsid w:val="003177D7"/>
    <w:rsid w:val="00325230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5D6A"/>
    <w:rsid w:val="00390104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592"/>
    <w:rsid w:val="003F6384"/>
    <w:rsid w:val="003F6645"/>
    <w:rsid w:val="003F7C35"/>
    <w:rsid w:val="00401CDA"/>
    <w:rsid w:val="00401F54"/>
    <w:rsid w:val="00402486"/>
    <w:rsid w:val="00407630"/>
    <w:rsid w:val="00411CD9"/>
    <w:rsid w:val="00412742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3E8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62C7"/>
    <w:rsid w:val="00530BFF"/>
    <w:rsid w:val="00532C06"/>
    <w:rsid w:val="00534206"/>
    <w:rsid w:val="00534DA3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5F30"/>
    <w:rsid w:val="00607ED2"/>
    <w:rsid w:val="006123E9"/>
    <w:rsid w:val="00617417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5622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5104F"/>
    <w:rsid w:val="0075199D"/>
    <w:rsid w:val="00760618"/>
    <w:rsid w:val="007636A8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264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A67"/>
    <w:rsid w:val="007F5A44"/>
    <w:rsid w:val="007F6038"/>
    <w:rsid w:val="008008F4"/>
    <w:rsid w:val="00800F69"/>
    <w:rsid w:val="00801578"/>
    <w:rsid w:val="00801F81"/>
    <w:rsid w:val="00804549"/>
    <w:rsid w:val="00806526"/>
    <w:rsid w:val="008104AD"/>
    <w:rsid w:val="008122EC"/>
    <w:rsid w:val="00812EFA"/>
    <w:rsid w:val="00814297"/>
    <w:rsid w:val="0081468E"/>
    <w:rsid w:val="008210E4"/>
    <w:rsid w:val="00821DC8"/>
    <w:rsid w:val="008239AA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275D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2802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14CC"/>
    <w:rsid w:val="00A2339C"/>
    <w:rsid w:val="00A24218"/>
    <w:rsid w:val="00A27BED"/>
    <w:rsid w:val="00A27D7C"/>
    <w:rsid w:val="00A30B3D"/>
    <w:rsid w:val="00A31D51"/>
    <w:rsid w:val="00A4073F"/>
    <w:rsid w:val="00A43DBE"/>
    <w:rsid w:val="00A44202"/>
    <w:rsid w:val="00A46888"/>
    <w:rsid w:val="00A502D6"/>
    <w:rsid w:val="00A50A2B"/>
    <w:rsid w:val="00A52F9B"/>
    <w:rsid w:val="00A53638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588D"/>
    <w:rsid w:val="00A8612B"/>
    <w:rsid w:val="00A861B8"/>
    <w:rsid w:val="00A875D5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40D8"/>
    <w:rsid w:val="00AA4568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57B9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4DDC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B7C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527B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337F"/>
    <w:rsid w:val="00D45F2A"/>
    <w:rsid w:val="00D506D1"/>
    <w:rsid w:val="00D5509D"/>
    <w:rsid w:val="00D550BE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814F4"/>
    <w:rsid w:val="00D81AB7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222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C1606"/>
    <w:rsid w:val="00EC16C3"/>
    <w:rsid w:val="00EC1717"/>
    <w:rsid w:val="00EC319E"/>
    <w:rsid w:val="00EC401B"/>
    <w:rsid w:val="00EC41E2"/>
    <w:rsid w:val="00EC473E"/>
    <w:rsid w:val="00EC6330"/>
    <w:rsid w:val="00EC6FA5"/>
    <w:rsid w:val="00ED092D"/>
    <w:rsid w:val="00ED0A72"/>
    <w:rsid w:val="00ED4A51"/>
    <w:rsid w:val="00EE1500"/>
    <w:rsid w:val="00EE3791"/>
    <w:rsid w:val="00EE43A7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6C2D7"/>
  <w15:docId w15:val="{5319F622-37C1-4CA7-A746-55B7CB2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6B70-1593-4A72-8676-4E4BF66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13</cp:revision>
  <cp:lastPrinted>2016-09-21T01:59:00Z</cp:lastPrinted>
  <dcterms:created xsi:type="dcterms:W3CDTF">2017-04-28T01:46:00Z</dcterms:created>
  <dcterms:modified xsi:type="dcterms:W3CDTF">2023-06-09T01:16:00Z</dcterms:modified>
</cp:coreProperties>
</file>